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EE" w:rsidRPr="003645A5" w:rsidRDefault="003645A5" w:rsidP="007E5BEF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 requieren</w:t>
      </w:r>
      <w:r w:rsidR="00F662EE" w:rsidRPr="003645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567BF" w:rsidRPr="003645A5">
        <w:rPr>
          <w:rFonts w:ascii="Arial" w:hAnsi="Arial" w:cs="Arial"/>
          <w:b/>
          <w:sz w:val="20"/>
          <w:szCs w:val="20"/>
          <w:lang w:val="es-ES"/>
        </w:rPr>
        <w:t>Profesionales</w:t>
      </w:r>
      <w:r w:rsidR="00051458" w:rsidRPr="003645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F662EE" w:rsidRPr="003645A5">
        <w:rPr>
          <w:rFonts w:ascii="Arial" w:hAnsi="Arial" w:cs="Arial"/>
          <w:b/>
          <w:sz w:val="20"/>
          <w:szCs w:val="20"/>
          <w:lang w:val="es-ES"/>
        </w:rPr>
        <w:t xml:space="preserve">para </w:t>
      </w:r>
      <w:r w:rsidR="00954B21" w:rsidRPr="003645A5">
        <w:rPr>
          <w:rFonts w:ascii="Arial" w:hAnsi="Arial" w:cs="Arial"/>
          <w:b/>
          <w:sz w:val="20"/>
          <w:szCs w:val="20"/>
          <w:lang w:val="es-ES"/>
        </w:rPr>
        <w:t xml:space="preserve">la </w:t>
      </w:r>
      <w:r w:rsidR="00051458" w:rsidRPr="003645A5">
        <w:rPr>
          <w:rFonts w:ascii="Arial" w:hAnsi="Arial" w:cs="Arial"/>
          <w:b/>
          <w:sz w:val="20"/>
          <w:szCs w:val="20"/>
          <w:lang w:val="es-ES"/>
        </w:rPr>
        <w:t>U</w:t>
      </w:r>
      <w:r w:rsidR="00954B21" w:rsidRPr="003645A5">
        <w:rPr>
          <w:rFonts w:ascii="Arial" w:hAnsi="Arial" w:cs="Arial"/>
          <w:b/>
          <w:sz w:val="20"/>
          <w:szCs w:val="20"/>
          <w:lang w:val="es-ES"/>
        </w:rPr>
        <w:t>nidad</w:t>
      </w:r>
      <w:r w:rsidR="00C53190" w:rsidRPr="003645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D64973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 w:rsidR="00C53190" w:rsidRPr="003645A5">
        <w:rPr>
          <w:rFonts w:ascii="Arial" w:hAnsi="Arial" w:cs="Arial"/>
          <w:b/>
          <w:sz w:val="20"/>
          <w:szCs w:val="20"/>
          <w:lang w:val="es-ES"/>
        </w:rPr>
        <w:t>Infraestructura</w:t>
      </w:r>
      <w:r w:rsidR="00D64973">
        <w:rPr>
          <w:rFonts w:ascii="Arial" w:hAnsi="Arial" w:cs="Arial"/>
          <w:b/>
          <w:sz w:val="20"/>
          <w:szCs w:val="20"/>
          <w:lang w:val="es-ES"/>
        </w:rPr>
        <w:t xml:space="preserve"> de la SECPLA</w:t>
      </w:r>
    </w:p>
    <w:p w:rsidR="0067044D" w:rsidRPr="003645A5" w:rsidRDefault="0024533B" w:rsidP="009223AB">
      <w:pPr>
        <w:jc w:val="both"/>
        <w:rPr>
          <w:rFonts w:ascii="Arial" w:hAnsi="Arial" w:cs="Arial"/>
          <w:sz w:val="20"/>
          <w:szCs w:val="20"/>
        </w:rPr>
      </w:pPr>
      <w:r w:rsidRPr="003645A5">
        <w:rPr>
          <w:rFonts w:ascii="Arial" w:hAnsi="Arial" w:cs="Arial"/>
          <w:sz w:val="20"/>
          <w:szCs w:val="20"/>
        </w:rPr>
        <w:t xml:space="preserve">La Unidad </w:t>
      </w:r>
      <w:r w:rsidR="00D64973">
        <w:rPr>
          <w:rFonts w:ascii="Arial" w:hAnsi="Arial" w:cs="Arial"/>
          <w:sz w:val="20"/>
          <w:szCs w:val="20"/>
        </w:rPr>
        <w:t xml:space="preserve">de Infraestructura de la </w:t>
      </w:r>
      <w:r w:rsidR="00F662EE" w:rsidRPr="003645A5">
        <w:rPr>
          <w:rFonts w:ascii="Arial" w:hAnsi="Arial" w:cs="Arial"/>
          <w:sz w:val="20"/>
          <w:szCs w:val="20"/>
        </w:rPr>
        <w:t xml:space="preserve">SECPLA de la </w:t>
      </w:r>
      <w:r w:rsidR="00D64973">
        <w:rPr>
          <w:rFonts w:ascii="Arial" w:hAnsi="Arial" w:cs="Arial"/>
          <w:sz w:val="20"/>
          <w:szCs w:val="20"/>
        </w:rPr>
        <w:t xml:space="preserve">I. </w:t>
      </w:r>
      <w:r w:rsidR="00F662EE" w:rsidRPr="003645A5">
        <w:rPr>
          <w:rFonts w:ascii="Arial" w:hAnsi="Arial" w:cs="Arial"/>
          <w:sz w:val="20"/>
          <w:szCs w:val="20"/>
        </w:rPr>
        <w:t>Municipalidad de San Antonio</w:t>
      </w:r>
      <w:r w:rsidR="00C552D5" w:rsidRPr="003645A5">
        <w:rPr>
          <w:rFonts w:ascii="Arial" w:hAnsi="Arial" w:cs="Arial"/>
          <w:sz w:val="20"/>
          <w:szCs w:val="20"/>
        </w:rPr>
        <w:t xml:space="preserve"> requiere incorporar funciones transitorias de profesiona</w:t>
      </w:r>
      <w:r w:rsidR="00D64973">
        <w:rPr>
          <w:rFonts w:ascii="Arial" w:hAnsi="Arial" w:cs="Arial"/>
          <w:sz w:val="20"/>
          <w:szCs w:val="20"/>
        </w:rPr>
        <w:t xml:space="preserve">les contratados por 12 meses,  a través de la línea de </w:t>
      </w:r>
      <w:r w:rsidR="00C552D5" w:rsidRPr="003645A5">
        <w:rPr>
          <w:rFonts w:ascii="Arial" w:hAnsi="Arial" w:cs="Arial"/>
          <w:sz w:val="20"/>
          <w:szCs w:val="20"/>
        </w:rPr>
        <w:t xml:space="preserve"> </w:t>
      </w:r>
      <w:r w:rsidR="00D64973">
        <w:rPr>
          <w:rFonts w:ascii="Arial" w:hAnsi="Arial" w:cs="Arial"/>
          <w:sz w:val="20"/>
          <w:szCs w:val="20"/>
        </w:rPr>
        <w:t>Acciones Concurrentes de la SUBDERE,  para lo cual se requiere de</w:t>
      </w:r>
      <w:r w:rsidR="00C552D5" w:rsidRPr="003645A5">
        <w:rPr>
          <w:rFonts w:ascii="Arial" w:hAnsi="Arial" w:cs="Arial"/>
          <w:sz w:val="20"/>
          <w:szCs w:val="20"/>
        </w:rPr>
        <w:t xml:space="preserve"> </w:t>
      </w:r>
      <w:r w:rsidR="00D64973">
        <w:rPr>
          <w:rFonts w:ascii="Arial" w:hAnsi="Arial" w:cs="Arial"/>
          <w:sz w:val="20"/>
          <w:szCs w:val="20"/>
        </w:rPr>
        <w:t xml:space="preserve">04 profesionales </w:t>
      </w:r>
      <w:r w:rsidR="00C552D5" w:rsidRPr="003645A5">
        <w:rPr>
          <w:rFonts w:ascii="Arial" w:hAnsi="Arial" w:cs="Arial"/>
          <w:sz w:val="20"/>
          <w:szCs w:val="20"/>
        </w:rPr>
        <w:t xml:space="preserve"> con conocimientos y formación suficiente para </w:t>
      </w:r>
      <w:r w:rsidR="00D64973">
        <w:rPr>
          <w:rFonts w:ascii="Arial" w:hAnsi="Arial" w:cs="Arial"/>
          <w:sz w:val="20"/>
          <w:szCs w:val="20"/>
        </w:rPr>
        <w:t>realizar proyectos de Alcantarillado y Agua Potable para los L</w:t>
      </w:r>
      <w:r w:rsidR="00C552D5" w:rsidRPr="003645A5">
        <w:rPr>
          <w:rFonts w:ascii="Arial" w:hAnsi="Arial" w:cs="Arial"/>
          <w:sz w:val="20"/>
          <w:szCs w:val="20"/>
        </w:rPr>
        <w:t>oteos indicados</w:t>
      </w:r>
      <w:r w:rsidR="00D64973">
        <w:rPr>
          <w:rFonts w:ascii="Arial" w:hAnsi="Arial" w:cs="Arial"/>
          <w:sz w:val="20"/>
          <w:szCs w:val="20"/>
        </w:rPr>
        <w:t xml:space="preserve"> en cuadro adjunto y de esta forma poder</w:t>
      </w:r>
      <w:r w:rsidR="00110841">
        <w:rPr>
          <w:rFonts w:ascii="Arial" w:hAnsi="Arial" w:cs="Arial"/>
          <w:sz w:val="20"/>
          <w:szCs w:val="20"/>
        </w:rPr>
        <w:t xml:space="preserve"> entregar</w:t>
      </w:r>
      <w:r w:rsidR="00C552D5" w:rsidRPr="003645A5">
        <w:rPr>
          <w:rFonts w:ascii="Arial" w:hAnsi="Arial" w:cs="Arial"/>
          <w:sz w:val="20"/>
          <w:szCs w:val="20"/>
        </w:rPr>
        <w:t xml:space="preserve"> una pronta solución a 224 familias que carecen de estos servicios</w:t>
      </w:r>
      <w:r w:rsidR="00110841">
        <w:rPr>
          <w:rFonts w:ascii="Arial" w:hAnsi="Arial" w:cs="Arial"/>
          <w:sz w:val="20"/>
          <w:szCs w:val="20"/>
        </w:rPr>
        <w:t xml:space="preserve">, </w:t>
      </w:r>
      <w:r w:rsidR="00C552D5" w:rsidRPr="003645A5">
        <w:rPr>
          <w:rFonts w:ascii="Arial" w:hAnsi="Arial" w:cs="Arial"/>
          <w:sz w:val="20"/>
          <w:szCs w:val="20"/>
        </w:rPr>
        <w:t xml:space="preserve"> </w:t>
      </w:r>
      <w:r w:rsidR="00D64973">
        <w:rPr>
          <w:rFonts w:ascii="Arial" w:hAnsi="Arial" w:cs="Arial"/>
          <w:sz w:val="20"/>
          <w:szCs w:val="20"/>
        </w:rPr>
        <w:t xml:space="preserve">para mejorar su calidad de vida.  El objetivo principal de esta iniciativa es </w:t>
      </w:r>
      <w:r w:rsidR="00110841">
        <w:rPr>
          <w:rFonts w:ascii="Arial" w:hAnsi="Arial" w:cs="Arial"/>
          <w:sz w:val="20"/>
          <w:szCs w:val="20"/>
        </w:rPr>
        <w:t xml:space="preserve">el </w:t>
      </w:r>
      <w:r w:rsidR="00C552D5" w:rsidRPr="003645A5">
        <w:rPr>
          <w:rFonts w:ascii="Arial" w:hAnsi="Arial" w:cs="Arial"/>
          <w:sz w:val="20"/>
          <w:szCs w:val="20"/>
        </w:rPr>
        <w:t>sanear estos sectores desde el punto de vista de la salubridad, medioambiental, urbanístico e infraestructura.</w:t>
      </w:r>
    </w:p>
    <w:p w:rsidR="007E5BEF" w:rsidRPr="003645A5" w:rsidRDefault="007E5BEF" w:rsidP="007E5BEF">
      <w:pPr>
        <w:jc w:val="both"/>
        <w:rPr>
          <w:rFonts w:ascii="Arial" w:hAnsi="Arial" w:cs="Arial"/>
          <w:sz w:val="20"/>
          <w:szCs w:val="20"/>
        </w:rPr>
      </w:pPr>
      <w:r w:rsidRPr="003645A5">
        <w:rPr>
          <w:rFonts w:ascii="Arial" w:hAnsi="Arial" w:cs="Arial"/>
          <w:sz w:val="20"/>
          <w:szCs w:val="20"/>
        </w:rPr>
        <w:t>El área del pro</w:t>
      </w:r>
      <w:r w:rsidR="00110841">
        <w:rPr>
          <w:rFonts w:ascii="Arial" w:hAnsi="Arial" w:cs="Arial"/>
          <w:sz w:val="20"/>
          <w:szCs w:val="20"/>
        </w:rPr>
        <w:t>yecto se circunscribe a cuatro L</w:t>
      </w:r>
      <w:r w:rsidRPr="003645A5">
        <w:rPr>
          <w:rFonts w:ascii="Arial" w:hAnsi="Arial" w:cs="Arial"/>
          <w:sz w:val="20"/>
          <w:szCs w:val="20"/>
        </w:rPr>
        <w:t>oteos:</w:t>
      </w:r>
    </w:p>
    <w:tbl>
      <w:tblPr>
        <w:tblStyle w:val="Tablaconcuadrcula"/>
        <w:tblW w:w="0" w:type="auto"/>
        <w:jc w:val="center"/>
        <w:tblInd w:w="440" w:type="dxa"/>
        <w:tblLook w:val="04A0" w:firstRow="1" w:lastRow="0" w:firstColumn="1" w:lastColumn="0" w:noHBand="0" w:noVBand="1"/>
      </w:tblPr>
      <w:tblGrid>
        <w:gridCol w:w="1951"/>
        <w:gridCol w:w="1985"/>
      </w:tblGrid>
      <w:tr w:rsidR="007E5BEF" w:rsidRPr="003645A5" w:rsidTr="00D64973">
        <w:trPr>
          <w:jc w:val="center"/>
        </w:trPr>
        <w:tc>
          <w:tcPr>
            <w:tcW w:w="1951" w:type="dxa"/>
          </w:tcPr>
          <w:p w:rsidR="007E5BEF" w:rsidRPr="003645A5" w:rsidRDefault="007E5BEF" w:rsidP="00151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A5">
              <w:rPr>
                <w:rFonts w:ascii="Arial" w:hAnsi="Arial" w:cs="Arial"/>
                <w:b/>
                <w:sz w:val="20"/>
                <w:szCs w:val="20"/>
              </w:rPr>
              <w:t>Loteo</w:t>
            </w:r>
          </w:p>
        </w:tc>
        <w:tc>
          <w:tcPr>
            <w:tcW w:w="1985" w:type="dxa"/>
          </w:tcPr>
          <w:p w:rsidR="007E5BEF" w:rsidRPr="003645A5" w:rsidRDefault="007E5BEF" w:rsidP="00151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A5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</w:tr>
      <w:tr w:rsidR="007E5BEF" w:rsidRPr="003645A5" w:rsidTr="00D64973">
        <w:trPr>
          <w:jc w:val="center"/>
        </w:trPr>
        <w:tc>
          <w:tcPr>
            <w:tcW w:w="1951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Mirador del Maipo</w:t>
            </w:r>
          </w:p>
        </w:tc>
        <w:tc>
          <w:tcPr>
            <w:tcW w:w="1985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Lo Gallardo</w:t>
            </w:r>
          </w:p>
        </w:tc>
      </w:tr>
      <w:tr w:rsidR="007E5BEF" w:rsidRPr="003645A5" w:rsidTr="00D64973">
        <w:trPr>
          <w:jc w:val="center"/>
        </w:trPr>
        <w:tc>
          <w:tcPr>
            <w:tcW w:w="1951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45A5">
              <w:rPr>
                <w:rFonts w:ascii="Arial" w:hAnsi="Arial" w:cs="Arial"/>
                <w:sz w:val="20"/>
                <w:szCs w:val="20"/>
              </w:rPr>
              <w:t>Pelancura</w:t>
            </w:r>
            <w:proofErr w:type="spellEnd"/>
          </w:p>
        </w:tc>
        <w:tc>
          <w:tcPr>
            <w:tcW w:w="1985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45A5">
              <w:rPr>
                <w:rFonts w:ascii="Arial" w:hAnsi="Arial" w:cs="Arial"/>
                <w:sz w:val="20"/>
                <w:szCs w:val="20"/>
              </w:rPr>
              <w:t>Pelancura</w:t>
            </w:r>
            <w:proofErr w:type="spellEnd"/>
          </w:p>
        </w:tc>
      </w:tr>
      <w:tr w:rsidR="007E5BEF" w:rsidRPr="003645A5" w:rsidTr="00D64973">
        <w:trPr>
          <w:jc w:val="center"/>
        </w:trPr>
        <w:tc>
          <w:tcPr>
            <w:tcW w:w="1951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Los Perales 2</w:t>
            </w:r>
          </w:p>
        </w:tc>
        <w:tc>
          <w:tcPr>
            <w:tcW w:w="1985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Quebrada Los Perales</w:t>
            </w:r>
          </w:p>
        </w:tc>
      </w:tr>
      <w:tr w:rsidR="007E5BEF" w:rsidRPr="003645A5" w:rsidTr="00D64973">
        <w:trPr>
          <w:jc w:val="center"/>
        </w:trPr>
        <w:tc>
          <w:tcPr>
            <w:tcW w:w="1951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Pasaje Asturias</w:t>
            </w:r>
          </w:p>
        </w:tc>
        <w:tc>
          <w:tcPr>
            <w:tcW w:w="1985" w:type="dxa"/>
          </w:tcPr>
          <w:p w:rsidR="007E5BEF" w:rsidRPr="003645A5" w:rsidRDefault="007E5BEF" w:rsidP="00151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Cerro Alegre</w:t>
            </w:r>
          </w:p>
        </w:tc>
      </w:tr>
    </w:tbl>
    <w:p w:rsidR="00C552D5" w:rsidRPr="003645A5" w:rsidRDefault="00C552D5" w:rsidP="00004A5C">
      <w:pPr>
        <w:jc w:val="both"/>
        <w:rPr>
          <w:rFonts w:ascii="Arial" w:hAnsi="Arial" w:cs="Arial"/>
          <w:sz w:val="20"/>
          <w:szCs w:val="20"/>
        </w:rPr>
      </w:pPr>
    </w:p>
    <w:p w:rsidR="00D8783A" w:rsidRPr="003645A5" w:rsidRDefault="00110841" w:rsidP="00004A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iniciativa</w:t>
      </w:r>
      <w:r w:rsidR="00D8783A" w:rsidRPr="003645A5">
        <w:rPr>
          <w:rFonts w:ascii="Arial" w:hAnsi="Arial" w:cs="Arial"/>
          <w:sz w:val="20"/>
          <w:szCs w:val="20"/>
        </w:rPr>
        <w:t xml:space="preserve"> debe entregar </w:t>
      </w:r>
      <w:r>
        <w:rPr>
          <w:rFonts w:ascii="Arial" w:hAnsi="Arial" w:cs="Arial"/>
          <w:sz w:val="20"/>
          <w:szCs w:val="20"/>
        </w:rPr>
        <w:t>cuatro</w:t>
      </w:r>
      <w:r w:rsidR="00D8783A" w:rsidRPr="003645A5">
        <w:rPr>
          <w:rFonts w:ascii="Arial" w:hAnsi="Arial" w:cs="Arial"/>
          <w:sz w:val="20"/>
          <w:szCs w:val="20"/>
        </w:rPr>
        <w:t xml:space="preserve"> proyectos aprobados por Esval con sus respectivos presupuestos estimativos de los montos de inversión </w:t>
      </w:r>
      <w:r>
        <w:rPr>
          <w:rFonts w:ascii="Arial" w:hAnsi="Arial" w:cs="Arial"/>
          <w:sz w:val="20"/>
          <w:szCs w:val="20"/>
        </w:rPr>
        <w:t>requeridos</w:t>
      </w:r>
      <w:r w:rsidR="00D8783A" w:rsidRPr="003645A5">
        <w:rPr>
          <w:rFonts w:ascii="Arial" w:hAnsi="Arial" w:cs="Arial"/>
          <w:sz w:val="20"/>
          <w:szCs w:val="20"/>
        </w:rPr>
        <w:t xml:space="preserve"> para su materialización y los insumos necesarios para postularlos a la </w:t>
      </w:r>
      <w:r>
        <w:rPr>
          <w:rFonts w:ascii="Arial" w:hAnsi="Arial" w:cs="Arial"/>
          <w:sz w:val="20"/>
          <w:szCs w:val="20"/>
        </w:rPr>
        <w:t>SUBDERE posteriormente</w:t>
      </w:r>
      <w:r w:rsidR="00D8783A" w:rsidRPr="003645A5">
        <w:rPr>
          <w:rFonts w:ascii="Arial" w:hAnsi="Arial" w:cs="Arial"/>
          <w:sz w:val="20"/>
          <w:szCs w:val="20"/>
        </w:rPr>
        <w:t xml:space="preserve"> </w:t>
      </w:r>
    </w:p>
    <w:p w:rsidR="0077260F" w:rsidRPr="003645A5" w:rsidRDefault="0077260F" w:rsidP="00004A5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4887"/>
      </w:tblGrid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DIRECCION</w:t>
            </w:r>
          </w:p>
        </w:tc>
        <w:tc>
          <w:tcPr>
            <w:tcW w:w="488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SECPLA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DEPARTAMENTO /UNIDAD / SECCION</w:t>
            </w:r>
          </w:p>
        </w:tc>
        <w:tc>
          <w:tcPr>
            <w:tcW w:w="4887" w:type="dxa"/>
          </w:tcPr>
          <w:p w:rsidR="0077260F" w:rsidRPr="003645A5" w:rsidRDefault="0077260F" w:rsidP="00627E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TIPO CONTRATO</w:t>
            </w:r>
          </w:p>
        </w:tc>
        <w:tc>
          <w:tcPr>
            <w:tcW w:w="488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Honorarios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PLAZO FUNCIONES TRANSITORIAS</w:t>
            </w:r>
          </w:p>
        </w:tc>
        <w:tc>
          <w:tcPr>
            <w:tcW w:w="4887" w:type="dxa"/>
          </w:tcPr>
          <w:p w:rsidR="0077260F" w:rsidRPr="003645A5" w:rsidRDefault="0077260F" w:rsidP="00F77C1A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7" w:type="dxa"/>
          </w:tcPr>
          <w:p w:rsidR="0077260F" w:rsidRPr="003645A5" w:rsidRDefault="0077260F" w:rsidP="00F77C1A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Ingeniero Civil </w:t>
            </w:r>
          </w:p>
          <w:p w:rsidR="0077260F" w:rsidRPr="003645A5" w:rsidRDefault="0077260F" w:rsidP="00F77C1A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Ingeniero Geomensor (o similar)</w:t>
            </w:r>
          </w:p>
          <w:p w:rsidR="0077260F" w:rsidRPr="003645A5" w:rsidRDefault="0077260F" w:rsidP="00F77C1A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Dibujante </w:t>
            </w:r>
            <w:r w:rsidR="00110841" w:rsidRPr="003645A5">
              <w:rPr>
                <w:rFonts w:ascii="Arial" w:hAnsi="Arial" w:cs="Arial"/>
                <w:sz w:val="20"/>
                <w:szCs w:val="20"/>
              </w:rPr>
              <w:t>Proyectista</w:t>
            </w:r>
            <w:r w:rsidRPr="003645A5">
              <w:rPr>
                <w:rFonts w:ascii="Arial" w:hAnsi="Arial" w:cs="Arial"/>
                <w:sz w:val="20"/>
                <w:szCs w:val="20"/>
              </w:rPr>
              <w:t xml:space="preserve"> (o similar)</w:t>
            </w:r>
          </w:p>
          <w:p w:rsidR="0077260F" w:rsidRPr="003645A5" w:rsidRDefault="0077260F" w:rsidP="00F77C1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Abogado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110841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  <w:r w:rsidR="00110841">
              <w:rPr>
                <w:rFonts w:ascii="Arial" w:hAnsi="Arial" w:cs="Arial"/>
                <w:sz w:val="20"/>
                <w:szCs w:val="20"/>
              </w:rPr>
              <w:t>EXCLUYENTES</w:t>
            </w:r>
          </w:p>
        </w:tc>
        <w:tc>
          <w:tcPr>
            <w:tcW w:w="488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- Certificado de Título </w:t>
            </w:r>
          </w:p>
          <w:p w:rsidR="0077260F" w:rsidRPr="003645A5" w:rsidRDefault="0077260F" w:rsidP="00191BA3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- Experiencia comprobable en </w:t>
            </w:r>
            <w:r w:rsidR="00110841">
              <w:rPr>
                <w:rFonts w:ascii="Arial" w:hAnsi="Arial" w:cs="Arial"/>
                <w:sz w:val="20"/>
                <w:szCs w:val="20"/>
              </w:rPr>
              <w:t xml:space="preserve">elaboración de </w:t>
            </w:r>
            <w:r w:rsidRPr="003645A5">
              <w:rPr>
                <w:rFonts w:ascii="Arial" w:hAnsi="Arial" w:cs="Arial"/>
                <w:sz w:val="20"/>
                <w:szCs w:val="20"/>
              </w:rPr>
              <w:t>Proyectos de Agua Potable y Alcantarillado</w:t>
            </w:r>
          </w:p>
          <w:p w:rsidR="0077260F" w:rsidRPr="003645A5" w:rsidRDefault="0077260F" w:rsidP="00CE4A72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- Manejo de equipos (topográficos, manejo de AutoCAD, Word, Excel.)</w:t>
            </w:r>
          </w:p>
          <w:p w:rsidR="0077260F" w:rsidRPr="003645A5" w:rsidRDefault="0077260F" w:rsidP="00CE4A72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- No estar afecto a inhabilidades que contempla la ley para ejercer funciones públicas en Municipalidades.</w:t>
            </w: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REQUISITOS DESEABLES</w:t>
            </w:r>
          </w:p>
        </w:tc>
        <w:tc>
          <w:tcPr>
            <w:tcW w:w="4887" w:type="dxa"/>
          </w:tcPr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Ingeniero Civil: Profesional universitario Ingeniero Civil, con experiencia en </w:t>
            </w:r>
            <w:r w:rsidR="00776956">
              <w:rPr>
                <w:rFonts w:ascii="Arial" w:hAnsi="Arial" w:cs="Arial"/>
                <w:sz w:val="20"/>
                <w:szCs w:val="20"/>
              </w:rPr>
              <w:t xml:space="preserve">elaboración de </w:t>
            </w:r>
            <w:r w:rsidRPr="003645A5">
              <w:rPr>
                <w:rFonts w:ascii="Arial" w:hAnsi="Arial" w:cs="Arial"/>
                <w:sz w:val="20"/>
                <w:szCs w:val="20"/>
              </w:rPr>
              <w:t>proyectos de Agua Potable, Alcantarillado, plantas elevadoras, tramitaciones de proyectos en Esval. Capacidad de trabajar en equipos de profesionales.</w:t>
            </w:r>
          </w:p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Abogado: Profesional universitario Abogado, con experiencia </w:t>
            </w:r>
            <w:r w:rsidR="00776956">
              <w:rPr>
                <w:rFonts w:ascii="Arial" w:hAnsi="Arial" w:cs="Arial"/>
                <w:sz w:val="20"/>
                <w:szCs w:val="20"/>
              </w:rPr>
              <w:t>en realización de</w:t>
            </w:r>
            <w:r w:rsidRPr="003645A5">
              <w:rPr>
                <w:rFonts w:ascii="Arial" w:hAnsi="Arial" w:cs="Arial"/>
                <w:sz w:val="20"/>
                <w:szCs w:val="20"/>
              </w:rPr>
              <w:t xml:space="preserve"> servidumbres de paso </w:t>
            </w:r>
            <w:r w:rsidR="00776956">
              <w:rPr>
                <w:rFonts w:ascii="Arial" w:hAnsi="Arial" w:cs="Arial"/>
                <w:sz w:val="20"/>
                <w:szCs w:val="20"/>
              </w:rPr>
              <w:t xml:space="preserve">comunidades de </w:t>
            </w:r>
            <w:proofErr w:type="spellStart"/>
            <w:r w:rsidR="00776956">
              <w:rPr>
                <w:rFonts w:ascii="Arial" w:hAnsi="Arial" w:cs="Arial"/>
                <w:sz w:val="20"/>
                <w:szCs w:val="20"/>
              </w:rPr>
              <w:t>desague</w:t>
            </w:r>
            <w:proofErr w:type="spellEnd"/>
            <w:r w:rsidR="00776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5A5">
              <w:rPr>
                <w:rFonts w:ascii="Arial" w:hAnsi="Arial" w:cs="Arial"/>
                <w:sz w:val="20"/>
                <w:szCs w:val="20"/>
              </w:rPr>
              <w:t>y convenios con Esval. Capacidad de trabajar en equipo de profesionales</w:t>
            </w:r>
          </w:p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Ingeniero Geomensor (o similar): Profesional Ingeniero Geomensor, Ingeniero Ejecución Geomensor, con experiencia en el uso de equipos de medición satelital, capacidad de trabajar con equipos de profesionales.</w:t>
            </w:r>
          </w:p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60F" w:rsidRPr="003645A5" w:rsidRDefault="0077260F" w:rsidP="007E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>Dibujante Proyectista (o similar): Profesional Dibujante Técnico con experiencia en dibujo Topográfico y/o Cartográfico, manejo de AutoCAD, Word, Excel. Experiencia en proyectos de Alcantarillado y Agua Potable. Capacidad de trabajar en equipo. Sin título profesional, se requiere de una experiencia comprobada en proyectos similares de al menos 10 años.</w:t>
            </w:r>
          </w:p>
          <w:p w:rsidR="0077260F" w:rsidRPr="003645A5" w:rsidRDefault="0077260F" w:rsidP="00F80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60F" w:rsidRPr="003645A5" w:rsidTr="00110841">
        <w:trPr>
          <w:jc w:val="center"/>
        </w:trPr>
        <w:tc>
          <w:tcPr>
            <w:tcW w:w="2167" w:type="dxa"/>
          </w:tcPr>
          <w:p w:rsidR="0077260F" w:rsidRPr="003645A5" w:rsidRDefault="0077260F" w:rsidP="00EB5984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lastRenderedPageBreak/>
              <w:t>PLAZOS Y PROCEDIMIENTOS PARA SELECCIÓN DE POSTULANTES</w:t>
            </w:r>
          </w:p>
        </w:tc>
        <w:tc>
          <w:tcPr>
            <w:tcW w:w="4887" w:type="dxa"/>
          </w:tcPr>
          <w:p w:rsidR="0077260F" w:rsidRPr="003645A5" w:rsidRDefault="0077260F" w:rsidP="00291F2F">
            <w:pPr>
              <w:rPr>
                <w:rFonts w:ascii="Arial" w:hAnsi="Arial" w:cs="Arial"/>
                <w:sz w:val="20"/>
                <w:szCs w:val="20"/>
              </w:rPr>
            </w:pPr>
            <w:r w:rsidRPr="003645A5">
              <w:rPr>
                <w:rFonts w:ascii="Arial" w:hAnsi="Arial" w:cs="Arial"/>
                <w:sz w:val="20"/>
                <w:szCs w:val="20"/>
              </w:rPr>
              <w:t xml:space="preserve">Enviar correo electrónico a </w:t>
            </w:r>
            <w:r w:rsidRPr="00110841">
              <w:rPr>
                <w:rFonts w:ascii="Arial" w:hAnsi="Arial" w:cs="Arial"/>
                <w:sz w:val="20"/>
                <w:szCs w:val="20"/>
              </w:rPr>
              <w:t>ncastaneda@sanantonio.cl</w:t>
            </w:r>
            <w:r w:rsidRPr="003645A5">
              <w:rPr>
                <w:rFonts w:ascii="Arial" w:hAnsi="Arial" w:cs="Arial"/>
                <w:sz w:val="20"/>
                <w:szCs w:val="20"/>
              </w:rPr>
              <w:t xml:space="preserve"> y a </w:t>
            </w:r>
            <w:r w:rsidR="00C552D5" w:rsidRPr="003645A5">
              <w:rPr>
                <w:rFonts w:ascii="Arial" w:hAnsi="Arial" w:cs="Arial"/>
                <w:sz w:val="20"/>
                <w:szCs w:val="20"/>
              </w:rPr>
              <w:t>Llema@sanantonio.cl</w:t>
            </w:r>
            <w:r w:rsidRPr="003645A5">
              <w:rPr>
                <w:rFonts w:ascii="Arial" w:hAnsi="Arial" w:cs="Arial"/>
                <w:sz w:val="20"/>
                <w:szCs w:val="20"/>
              </w:rPr>
              <w:t>, adjuntando Curriculum Vitae Actualizado y copia simple de Título, indicando en Asunto “Postulación</w:t>
            </w:r>
            <w:r w:rsidR="00C552D5" w:rsidRPr="003645A5">
              <w:rPr>
                <w:rFonts w:ascii="Arial" w:hAnsi="Arial" w:cs="Arial"/>
                <w:sz w:val="20"/>
                <w:szCs w:val="20"/>
              </w:rPr>
              <w:t xml:space="preserve"> Generación</w:t>
            </w:r>
            <w:r w:rsidRPr="003645A5">
              <w:rPr>
                <w:rFonts w:ascii="Arial" w:hAnsi="Arial" w:cs="Arial"/>
                <w:sz w:val="20"/>
                <w:szCs w:val="20"/>
              </w:rPr>
              <w:t xml:space="preserve"> Proyecto alcantarillado y agua potable</w:t>
            </w:r>
            <w:r w:rsidR="00C552D5" w:rsidRPr="003645A5">
              <w:rPr>
                <w:rFonts w:ascii="Arial" w:hAnsi="Arial" w:cs="Arial"/>
                <w:sz w:val="20"/>
                <w:szCs w:val="20"/>
              </w:rPr>
              <w:t xml:space="preserve"> Subdere</w:t>
            </w:r>
            <w:r w:rsidRPr="003645A5">
              <w:rPr>
                <w:rFonts w:ascii="Arial" w:hAnsi="Arial" w:cs="Arial"/>
                <w:sz w:val="20"/>
                <w:szCs w:val="20"/>
              </w:rPr>
              <w:t>”.</w:t>
            </w:r>
            <w:r w:rsidRPr="003645A5">
              <w:rPr>
                <w:rFonts w:ascii="Arial" w:hAnsi="Arial" w:cs="Arial"/>
                <w:sz w:val="20"/>
                <w:szCs w:val="20"/>
              </w:rPr>
              <w:br/>
            </w:r>
            <w:r w:rsidRPr="00291F2F">
              <w:rPr>
                <w:rFonts w:ascii="Arial" w:hAnsi="Arial" w:cs="Arial"/>
                <w:sz w:val="20"/>
                <w:szCs w:val="20"/>
              </w:rPr>
              <w:t>Recepc</w:t>
            </w:r>
            <w:r w:rsidR="00F36CB2">
              <w:rPr>
                <w:rFonts w:ascii="Arial" w:hAnsi="Arial" w:cs="Arial"/>
                <w:sz w:val="20"/>
                <w:szCs w:val="20"/>
              </w:rPr>
              <w:t>ión de Antecedentes: Hasta el 6</w:t>
            </w:r>
            <w:r w:rsidR="00291F2F" w:rsidRPr="00291F2F">
              <w:rPr>
                <w:rFonts w:ascii="Arial" w:hAnsi="Arial" w:cs="Arial"/>
                <w:sz w:val="20"/>
                <w:szCs w:val="20"/>
              </w:rPr>
              <w:t xml:space="preserve"> de Septiembre</w:t>
            </w:r>
            <w:r w:rsidRPr="00291F2F">
              <w:rPr>
                <w:rFonts w:ascii="Arial" w:hAnsi="Arial" w:cs="Arial"/>
                <w:sz w:val="20"/>
                <w:szCs w:val="20"/>
              </w:rPr>
              <w:t xml:space="preserve"> 2022.</w:t>
            </w:r>
            <w:r w:rsidRPr="00291F2F">
              <w:rPr>
                <w:rFonts w:ascii="Arial" w:hAnsi="Arial" w:cs="Arial"/>
                <w:sz w:val="20"/>
                <w:szCs w:val="20"/>
              </w:rPr>
              <w:br/>
              <w:t xml:space="preserve">Realización de Entrevistas: </w:t>
            </w:r>
            <w:r w:rsidR="00F36CB2">
              <w:rPr>
                <w:rFonts w:ascii="Arial" w:hAnsi="Arial" w:cs="Arial"/>
                <w:sz w:val="20"/>
                <w:szCs w:val="20"/>
              </w:rPr>
              <w:t>12 y 13</w:t>
            </w:r>
            <w:r w:rsidR="00E9675E" w:rsidRPr="00291F2F">
              <w:rPr>
                <w:rFonts w:ascii="Arial" w:hAnsi="Arial" w:cs="Arial"/>
                <w:sz w:val="20"/>
                <w:szCs w:val="20"/>
              </w:rPr>
              <w:t xml:space="preserve"> de Septiembre </w:t>
            </w:r>
            <w:r w:rsidRPr="00291F2F">
              <w:rPr>
                <w:rFonts w:ascii="Arial" w:hAnsi="Arial" w:cs="Arial"/>
                <w:sz w:val="20"/>
                <w:szCs w:val="20"/>
              </w:rPr>
              <w:t>de 2022.</w:t>
            </w:r>
            <w:r w:rsidRPr="00291F2F">
              <w:rPr>
                <w:rFonts w:ascii="Arial" w:hAnsi="Arial" w:cs="Arial"/>
                <w:sz w:val="20"/>
                <w:szCs w:val="20"/>
              </w:rPr>
              <w:br/>
              <w:t>Resultados de postulación y contratac</w:t>
            </w:r>
            <w:r w:rsidR="00F36CB2">
              <w:rPr>
                <w:rFonts w:ascii="Arial" w:hAnsi="Arial" w:cs="Arial"/>
                <w:sz w:val="20"/>
                <w:szCs w:val="20"/>
              </w:rPr>
              <w:t>ión: del 14 al 16</w:t>
            </w:r>
            <w:r w:rsidR="00291F2F" w:rsidRPr="00291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75E" w:rsidRPr="00291F2F">
              <w:rPr>
                <w:rFonts w:ascii="Arial" w:hAnsi="Arial" w:cs="Arial"/>
                <w:sz w:val="20"/>
                <w:szCs w:val="20"/>
              </w:rPr>
              <w:t>de Septiembre</w:t>
            </w:r>
            <w:r w:rsidRPr="00291F2F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</w:tbl>
    <w:p w:rsidR="00F662EE" w:rsidRPr="003645A5" w:rsidRDefault="00CF2193" w:rsidP="00836206">
      <w:pPr>
        <w:rPr>
          <w:rFonts w:ascii="Arial" w:hAnsi="Arial" w:cs="Arial"/>
          <w:sz w:val="20"/>
          <w:szCs w:val="20"/>
          <w:lang w:val="es-ES"/>
        </w:rPr>
      </w:pPr>
      <w:r w:rsidRPr="003645A5">
        <w:rPr>
          <w:rFonts w:ascii="Arial" w:hAnsi="Arial" w:cs="Arial"/>
          <w:sz w:val="20"/>
          <w:szCs w:val="20"/>
          <w:lang w:val="es-ES"/>
        </w:rPr>
        <w:t>(*) Los plazos podrían variar de acuerdo al número de docu</w:t>
      </w:r>
      <w:bookmarkStart w:id="0" w:name="_GoBack"/>
      <w:bookmarkEnd w:id="0"/>
      <w:r w:rsidRPr="003645A5">
        <w:rPr>
          <w:rFonts w:ascii="Arial" w:hAnsi="Arial" w:cs="Arial"/>
          <w:sz w:val="20"/>
          <w:szCs w:val="20"/>
          <w:lang w:val="es-ES"/>
        </w:rPr>
        <w:t>mentación recibida</w:t>
      </w:r>
    </w:p>
    <w:sectPr w:rsidR="00F662EE" w:rsidRPr="003645A5" w:rsidSect="00836206"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6710"/>
    <w:multiLevelType w:val="multilevel"/>
    <w:tmpl w:val="225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EE"/>
    <w:rsid w:val="00004A5C"/>
    <w:rsid w:val="000308B2"/>
    <w:rsid w:val="00051458"/>
    <w:rsid w:val="00077527"/>
    <w:rsid w:val="000C1999"/>
    <w:rsid w:val="00110841"/>
    <w:rsid w:val="00191BA3"/>
    <w:rsid w:val="001D636A"/>
    <w:rsid w:val="002422B0"/>
    <w:rsid w:val="0024533B"/>
    <w:rsid w:val="00291F2F"/>
    <w:rsid w:val="002E5EA4"/>
    <w:rsid w:val="003645A5"/>
    <w:rsid w:val="005400B3"/>
    <w:rsid w:val="005A4E32"/>
    <w:rsid w:val="00627EC1"/>
    <w:rsid w:val="00627F84"/>
    <w:rsid w:val="0067044D"/>
    <w:rsid w:val="007567BF"/>
    <w:rsid w:val="00761D28"/>
    <w:rsid w:val="0077260F"/>
    <w:rsid w:val="00776956"/>
    <w:rsid w:val="007E0280"/>
    <w:rsid w:val="007E5BEF"/>
    <w:rsid w:val="00836206"/>
    <w:rsid w:val="00872265"/>
    <w:rsid w:val="008F5D4D"/>
    <w:rsid w:val="008F7328"/>
    <w:rsid w:val="009223AB"/>
    <w:rsid w:val="00954B21"/>
    <w:rsid w:val="00A05BBE"/>
    <w:rsid w:val="00AC5CC7"/>
    <w:rsid w:val="00B27EE3"/>
    <w:rsid w:val="00B37EA6"/>
    <w:rsid w:val="00BA12BC"/>
    <w:rsid w:val="00C53190"/>
    <w:rsid w:val="00C552D5"/>
    <w:rsid w:val="00CA2D88"/>
    <w:rsid w:val="00CE4453"/>
    <w:rsid w:val="00CE4A72"/>
    <w:rsid w:val="00CF2193"/>
    <w:rsid w:val="00D64973"/>
    <w:rsid w:val="00D8783A"/>
    <w:rsid w:val="00DD57A1"/>
    <w:rsid w:val="00E8374F"/>
    <w:rsid w:val="00E9675E"/>
    <w:rsid w:val="00F20970"/>
    <w:rsid w:val="00F36CB2"/>
    <w:rsid w:val="00F662EE"/>
    <w:rsid w:val="00F77C1A"/>
    <w:rsid w:val="00F8083B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4A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7E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4A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7E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Nicole Griselle Castañeda Solar</cp:lastModifiedBy>
  <cp:revision>2</cp:revision>
  <cp:lastPrinted>2022-08-12T17:16:00Z</cp:lastPrinted>
  <dcterms:created xsi:type="dcterms:W3CDTF">2022-08-29T17:19:00Z</dcterms:created>
  <dcterms:modified xsi:type="dcterms:W3CDTF">2022-08-29T17:19:00Z</dcterms:modified>
</cp:coreProperties>
</file>